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7" w:rsidRPr="003B2867" w:rsidRDefault="003B2867" w:rsidP="003B2867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cap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caps/>
          <w:sz w:val="20"/>
          <w:szCs w:val="20"/>
          <w:lang w:eastAsia="pt-BR"/>
        </w:rPr>
        <w:t>Gestão de conflitos em ambientes corporativos</w:t>
      </w:r>
    </w:p>
    <w:p w:rsidR="003B2867" w:rsidRPr="003B2867" w:rsidRDefault="003B2867" w:rsidP="003B2867">
      <w:pPr>
        <w:shd w:val="clear" w:color="auto" w:fill="FFFFFF"/>
        <w:spacing w:before="120" w:after="120"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Gestão de conflitos em ambientes corporativos</w:t>
      </w:r>
    </w:p>
    <w:p w:rsidR="003B2867" w:rsidRP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Técnicas para Resolução de Conflitos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Algumas técnicas para resolução de conflitos: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Resolução de problemas – encontros entre as partes conflitantes, com o propósito de identificar os problemas e resolvê-los por meio de discussão aberta.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Metas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superordenadas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– criação de uma meta compartilhada que não possa ser atingida sem a cooperação entre as partes conflitantes.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Expansão de recursos – quando o conflito é causado pela escassez de um recurso ($, promoção, espaço de trabalho). A expansão pode criar uma solução </w:t>
      </w:r>
      <w:proofErr w:type="spellStart"/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ganha-ganha</w:t>
      </w:r>
      <w:proofErr w:type="spellEnd"/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Não enfrentamento – suprimir o conflito ou evadir-se dele.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Concessão – Cada uma das partes abre mão de algo valioso.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Comando autoritário – administração usa sua autoridade formal para resolver o conflito e depois comunica seu desejo às partes envolvidas.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Alteração de variáveis humanas – utilização de técnicas de mudanças comportamental, tal como treinamento em relações humanas, para alterar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atitudes e comportamentos  que causam conflitos.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Alteração de variáveis estruturas –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mudanças na estrutura formal da organização e nos padrões de interação entre as partes conflitantes, por meio de redesenho de atribuições, transferências, criação de posições coordenadas, etc.</w:t>
      </w:r>
    </w:p>
    <w:p w:rsidR="003B2867" w:rsidRPr="003B2867" w:rsidRDefault="003B2867" w:rsidP="003B2867">
      <w:pPr>
        <w:numPr>
          <w:ilvl w:val="0"/>
          <w:numId w:val="7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Suavização – minimizar as diferenças entre as partes conflitantes, enfatizando seus interesses comuns.</w:t>
      </w:r>
    </w:p>
    <w:p w:rsidR="003B2867" w:rsidRP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Técnicas de Estímulo de Conflitos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Algumas técnicas para estímulo de conflitos:</w:t>
      </w:r>
    </w:p>
    <w:p w:rsidR="003B2867" w:rsidRPr="003B2867" w:rsidRDefault="003B2867" w:rsidP="003B2867">
      <w:pPr>
        <w:numPr>
          <w:ilvl w:val="0"/>
          <w:numId w:val="8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Comunicação – utilização de mensagens ambíguas ou ameaçadoras para aumentar os níveis de conflitos.</w:t>
      </w:r>
    </w:p>
    <w:p w:rsidR="003B2867" w:rsidRPr="003B2867" w:rsidRDefault="003B2867" w:rsidP="003B2867">
      <w:pPr>
        <w:numPr>
          <w:ilvl w:val="0"/>
          <w:numId w:val="8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Inclusão de Estranhos –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inclusão nos grupos de trabalho de  funcionários que tenham históricos, valores, atitudes ou estilos gerenciais diferentes daqueles dos seus membros.</w:t>
      </w:r>
    </w:p>
    <w:p w:rsidR="003B2867" w:rsidRPr="003B2867" w:rsidRDefault="003B2867" w:rsidP="003B2867">
      <w:pPr>
        <w:numPr>
          <w:ilvl w:val="0"/>
          <w:numId w:val="8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Reestruturação da Organização – realinhamento dos grupos de trabalho; alteração de regras e regulamentos; aumento da interdependência; e outras mudanças estruturais similares que rompam o status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quo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3B2867" w:rsidRPr="003B2867" w:rsidRDefault="003B2867" w:rsidP="003B2867">
      <w:pPr>
        <w:numPr>
          <w:ilvl w:val="0"/>
          <w:numId w:val="8"/>
        </w:numPr>
        <w:shd w:val="clear" w:color="auto" w:fill="FFFFFF"/>
        <w:spacing w:before="384" w:after="384" w:line="220" w:lineRule="atLeast"/>
        <w:ind w:left="0" w:righ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Nomear um “Advogado do Diabo” – designar um crítico que discuta, propositalmente, as posições defendidas pela maioria do grupo.</w:t>
      </w: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P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Alternativas para Resolução de Conflitos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Alternativas para resolução de conflitos de forma pacífica.</w:t>
      </w:r>
    </w:p>
    <w:p w:rsidR="003B2867" w:rsidRPr="003B2867" w:rsidRDefault="003B2867" w:rsidP="003B2867">
      <w:pPr>
        <w:shd w:val="clear" w:color="auto" w:fill="FFFFFF"/>
        <w:spacing w:before="206" w:after="206" w:line="24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Negociação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É o procedimento mais comum e natural, chegar a um acordo. Não existe participação de terceiros, apenas os envolvidos procuram uma solução negociada através de conversa. Em greves é comum que os envolvidos, funcionários e empregadores, se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reunam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para negociar. Um método utilizado neste caso é elaborar uma lista dos pontos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serem negociados, de onde são extraídos os pontos todos concordam e os pontos em desacordo onde é necessário negociação. São levantadas possíveis soluções para os pontos em desacordo, e então são listados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os pontos onde ambas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as partes aceitam a solução proposta diminuindo a lista de pontos em desacordo.</w:t>
      </w:r>
    </w:p>
    <w:p w:rsidR="003B2867" w:rsidRPr="003B2867" w:rsidRDefault="003B2867" w:rsidP="003B2867">
      <w:pPr>
        <w:shd w:val="clear" w:color="auto" w:fill="FFFFFF"/>
        <w:spacing w:before="206" w:after="206" w:line="24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Mediação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Semelhante a negociação, porém envolve a participação de um terceiro imparcial que coordena o processo, estimulando as partes envolvidas pelo diálogo.</w:t>
      </w:r>
    </w:p>
    <w:p w:rsidR="003B2867" w:rsidRPr="003B2867" w:rsidRDefault="003B2867" w:rsidP="003B2867">
      <w:pPr>
        <w:shd w:val="clear" w:color="auto" w:fill="FFFFFF"/>
        <w:spacing w:before="206" w:after="206" w:line="24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Conciliação</w:t>
      </w:r>
    </w:p>
    <w:p w:rsid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Ocorre quando há consenso entre as partes envolvidas. Funciona de forma parecida com a Mediação, porém a terceira pessoa que conduz o processo, que apesar de imparcial e neutra, pode manifestar sua opinião e manifestar soluções para o conflito.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Mediação e conciliação tem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muitos pontos em comum, sendo que os dois processos se combinam durante a resolução do conflito.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Arbitragem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Um arbitro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resolve o problema. Diferente das demais alternativas, o árbitro é quem tem o poder de decisão e não os envolvidos. É como uma sentença judicial.</w:t>
      </w:r>
    </w:p>
    <w:p w:rsidR="003B2867" w:rsidRPr="003B2867" w:rsidRDefault="003B2867" w:rsidP="003B2867">
      <w:pPr>
        <w:shd w:val="clear" w:color="auto" w:fill="FFFFFF"/>
        <w:spacing w:before="120" w:after="120"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Cases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>Segue alguns cases sobre resolução de conflitos.</w:t>
      </w: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B2867" w:rsidRP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Case Eduardo </w:t>
      </w:r>
      <w:proofErr w:type="spellStart"/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Godzikowski</w:t>
      </w:r>
      <w:proofErr w:type="spellEnd"/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– Comercio de Tintas </w:t>
      </w:r>
      <w:proofErr w:type="spellStart"/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Piquiri</w:t>
      </w:r>
      <w:proofErr w:type="spellEnd"/>
    </w:p>
    <w:p w:rsid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Eduardo relata que, na empresa em que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administra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, os funcionários são todos auxiliares de produção, vulgarmente chamados de “peões” como ele relata. Eduardo comenta que, por serem de uma classe menos favorecida, ele encontra dificuldade explicar algumas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coisas.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Eduardo conta um problema entre um chefe de produção e um funcionário. Relata que o chefe de produção “não vai com a cara” do funcionário. Eduardo já tentou entender o motivo da briga, mas não conseguiu. Ele comenta que conversou com ambas as partes sem resultado. Sua percepção foi que, talvez por não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terem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muito estudo, não entenderam e simplesmente argumentaram “não vou com a cara dele e não trabalho com ele”.Para tentar resolver o conflito, Eduardo pensou em várias alternativas, como forçar a trabalharem juntos, mas percebeu que não daria certo pois, além de diminuir o desempenho dos dois, poderia resultar em agressões físicas. Por fim, a solução aplicada foi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em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separa-los</w:t>
      </w:r>
      <w:proofErr w:type="spellEnd"/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fisicamente, já que a empresa possuía duas unidades distintas. Aquele que era chefe de produção permaneceu onde estava e o outro foi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transferido.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Eduardo menciona que “por hora o problema foi resolvido”, mas que a demissão de um deles pode ocorrer no futuro.Analisando o case de Eduardo, percebemos que ele adotou a estratégia de Mediação do conflito em um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primeiro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momento, chamando ambos para o diálogo, mas como não deu resultado optou por simplesmente Evitar o conflito, separando-os fisicamente. Pode ser necessário Arbitrar uma solução no futuro, como a demissão de um deles.</w:t>
      </w:r>
    </w:p>
    <w:p w:rsidR="003B2867" w:rsidRPr="003B2867" w:rsidRDefault="003B2867" w:rsidP="003B2867">
      <w:pPr>
        <w:shd w:val="clear" w:color="auto" w:fill="FFFFFF"/>
        <w:spacing w:before="180" w:after="18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Case </w:t>
      </w:r>
      <w:proofErr w:type="spellStart"/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 “Se não pode com eles, junte-se a eles!”</w:t>
      </w:r>
    </w:p>
    <w:p w:rsidR="003B2867" w:rsidRPr="003B2867" w:rsidRDefault="003B2867" w:rsidP="003B2867">
      <w:pPr>
        <w:shd w:val="clear" w:color="auto" w:fill="FFFFFF"/>
        <w:spacing w:before="384" w:after="384" w:line="21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Daiane Santana, diretora administrativa da rede de restaurantes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, relata uma crise de sua marca nas redes sociais, em que, onde a postura que o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tomasse seria decisiva para resolver um potencial conflito com seus consum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idores ou a sociedade em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geral.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Ela relata que o site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Kibe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Loco produziu um vídeo de humor em que o funcionário maltrata uma cliente que demora a fazer o pedido. Em nenhum momento, o nome do restaurante é citado, entretanto, fica bastante claro que é a ele a quem os humoristas se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referem.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Percebendo a repercussão no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Youtube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– mais de 430 mil visualizações -, a empresa decidiu criar uma parceria com o site, que elaborou a continuação da história mostrada no primeiro vídeo.  Desta vez, filmam o empregado sendo advertido pelo gerente e tentando mudar o </w:t>
      </w:r>
      <w:proofErr w:type="gram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comportamento.</w:t>
      </w:r>
      <w:proofErr w:type="gram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Além disso, em o “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– parte II” é mostrada a rotina do funcionário, inclusive sua conduta em outros empregos, o que remete claramente à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ideia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de que o problema seria uma pessoa específica que é impaciente em todas as circunstâncias, pois esta é uma característica dela, e não do estabelecimento em si.No final, o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deixa explícito que preza pelo bom atendimento ao cliente e incentiva que qualquer ato que descumpra tal valor, seja denunciado.Analisando o case do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>, percebemos a estratégia de Colaboração, onde ambas as partes simplesmente se uniram para fomentar mais ainda o objeto inicial do conflito, mas de uma forma conjunta definida em conjunto por ambas as partes, o que resulto no vídeo “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– parte II”. Este é um belo exemplo de conflito positivo que retirou o </w:t>
      </w:r>
      <w:proofErr w:type="spellStart"/>
      <w:r w:rsidRPr="003B2867">
        <w:rPr>
          <w:rFonts w:ascii="Arial" w:eastAsia="Times New Roman" w:hAnsi="Arial" w:cs="Arial"/>
          <w:sz w:val="20"/>
          <w:szCs w:val="20"/>
          <w:lang w:eastAsia="pt-BR"/>
        </w:rPr>
        <w:t>Spoleto</w:t>
      </w:r>
      <w:proofErr w:type="spellEnd"/>
      <w:r w:rsidRPr="003B2867">
        <w:rPr>
          <w:rFonts w:ascii="Arial" w:eastAsia="Times New Roman" w:hAnsi="Arial" w:cs="Arial"/>
          <w:sz w:val="20"/>
          <w:szCs w:val="20"/>
          <w:lang w:eastAsia="pt-BR"/>
        </w:rPr>
        <w:t xml:space="preserve"> de sua zona de conforto trazendo frutos (na bibliografia é possível acessar os vídeos)</w:t>
      </w:r>
    </w:p>
    <w:p w:rsidR="00796D93" w:rsidRDefault="003B2867"/>
    <w:sectPr w:rsidR="00796D93" w:rsidSect="003B2867">
      <w:pgSz w:w="11906" w:h="16838"/>
      <w:pgMar w:top="5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558"/>
    <w:multiLevelType w:val="multilevel"/>
    <w:tmpl w:val="717A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39C0"/>
    <w:multiLevelType w:val="multilevel"/>
    <w:tmpl w:val="AB3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370F9"/>
    <w:multiLevelType w:val="multilevel"/>
    <w:tmpl w:val="A0E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B2DA5"/>
    <w:multiLevelType w:val="multilevel"/>
    <w:tmpl w:val="A83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C0DC4"/>
    <w:multiLevelType w:val="multilevel"/>
    <w:tmpl w:val="811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064C0"/>
    <w:multiLevelType w:val="multilevel"/>
    <w:tmpl w:val="B12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34327"/>
    <w:multiLevelType w:val="multilevel"/>
    <w:tmpl w:val="056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B72BE"/>
    <w:multiLevelType w:val="multilevel"/>
    <w:tmpl w:val="522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B2867"/>
    <w:rsid w:val="00305BBC"/>
    <w:rsid w:val="003B2867"/>
    <w:rsid w:val="00C73D75"/>
    <w:rsid w:val="00ED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46"/>
  </w:style>
  <w:style w:type="paragraph" w:styleId="Ttulo1">
    <w:name w:val="heading 1"/>
    <w:basedOn w:val="Normal"/>
    <w:link w:val="Ttulo1Char"/>
    <w:uiPriority w:val="9"/>
    <w:qFormat/>
    <w:rsid w:val="003B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B2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2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B2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8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8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B28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B28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28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B2867"/>
  </w:style>
  <w:style w:type="character" w:customStyle="1" w:styleId="chevron">
    <w:name w:val="chevron"/>
    <w:basedOn w:val="Fontepargpadro"/>
    <w:rsid w:val="003B2867"/>
  </w:style>
  <w:style w:type="character" w:customStyle="1" w:styleId="breadcrumb-current">
    <w:name w:val="breadcrumb-current"/>
    <w:basedOn w:val="Fontepargpadro"/>
    <w:rsid w:val="003B2867"/>
  </w:style>
  <w:style w:type="character" w:customStyle="1" w:styleId="meta-prep">
    <w:name w:val="meta-prep"/>
    <w:basedOn w:val="Fontepargpadro"/>
    <w:rsid w:val="003B2867"/>
  </w:style>
  <w:style w:type="character" w:customStyle="1" w:styleId="timestamp">
    <w:name w:val="timestamp"/>
    <w:basedOn w:val="Fontepargpadro"/>
    <w:rsid w:val="003B2867"/>
  </w:style>
  <w:style w:type="character" w:customStyle="1" w:styleId="byline">
    <w:name w:val="byline"/>
    <w:basedOn w:val="Fontepargpadro"/>
    <w:rsid w:val="003B2867"/>
  </w:style>
  <w:style w:type="character" w:customStyle="1" w:styleId="author">
    <w:name w:val="author"/>
    <w:basedOn w:val="Fontepargpadro"/>
    <w:rsid w:val="003B2867"/>
  </w:style>
  <w:style w:type="character" w:customStyle="1" w:styleId="comments-link">
    <w:name w:val="comments-link"/>
    <w:basedOn w:val="Fontepargpadro"/>
    <w:rsid w:val="003B2867"/>
  </w:style>
  <w:style w:type="character" w:customStyle="1" w:styleId="mdash">
    <w:name w:val="mdash"/>
    <w:basedOn w:val="Fontepargpadro"/>
    <w:rsid w:val="003B2867"/>
  </w:style>
  <w:style w:type="paragraph" w:styleId="NormalWeb">
    <w:name w:val="Normal (Web)"/>
    <w:basedOn w:val="Normal"/>
    <w:uiPriority w:val="99"/>
    <w:unhideWhenUsed/>
    <w:rsid w:val="003B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B2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clodoaldo</cp:lastModifiedBy>
  <cp:revision>1</cp:revision>
  <dcterms:created xsi:type="dcterms:W3CDTF">2016-09-21T14:18:00Z</dcterms:created>
  <dcterms:modified xsi:type="dcterms:W3CDTF">2016-09-21T14:21:00Z</dcterms:modified>
</cp:coreProperties>
</file>